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5A128" w14:textId="77777777" w:rsidR="007A7B51" w:rsidRDefault="007A7B51"/>
    <w:p w14:paraId="7CE46939" w14:textId="77777777" w:rsidR="00690E78" w:rsidRDefault="00690E78" w:rsidP="00690E78">
      <w:pPr>
        <w:pStyle w:val="Ttulo"/>
        <w:rPr>
          <w:b w:val="0"/>
          <w:bCs/>
          <w:u w:val="none"/>
        </w:rPr>
      </w:pP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</w:p>
    <w:p w14:paraId="61A5ACE9" w14:textId="77777777" w:rsidR="00690E78" w:rsidRDefault="00690E78" w:rsidP="00690E78">
      <w:pPr>
        <w:pStyle w:val="Ttulo"/>
        <w:rPr>
          <w:b w:val="0"/>
          <w:bCs/>
          <w:u w:val="none"/>
        </w:rPr>
      </w:pPr>
    </w:p>
    <w:p w14:paraId="2BE75491" w14:textId="5AB7CDFF" w:rsidR="00690E78" w:rsidRDefault="00690E78" w:rsidP="00690E78">
      <w:pPr>
        <w:pStyle w:val="Ttulo"/>
        <w:rPr>
          <w:b w:val="0"/>
          <w:bCs/>
          <w:u w:val="none"/>
        </w:rPr>
      </w:pP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>
        <w:rPr>
          <w:b w:val="0"/>
          <w:bCs/>
          <w:u w:val="none"/>
        </w:rPr>
        <w:tab/>
      </w:r>
      <w:r w:rsidR="00FE29D3">
        <w:rPr>
          <w:b w:val="0"/>
          <w:bCs/>
          <w:u w:val="none"/>
        </w:rPr>
        <w:t xml:space="preserve">                                         </w:t>
      </w:r>
      <w:r w:rsidR="00C75F71">
        <w:rPr>
          <w:b w:val="0"/>
          <w:bCs/>
          <w:u w:val="none"/>
        </w:rPr>
        <w:t xml:space="preserve">Santiago, </w:t>
      </w:r>
      <w:r w:rsidR="008272FF">
        <w:rPr>
          <w:b w:val="0"/>
          <w:bCs/>
          <w:u w:val="none"/>
        </w:rPr>
        <w:t>28</w:t>
      </w:r>
      <w:r>
        <w:rPr>
          <w:b w:val="0"/>
          <w:bCs/>
          <w:u w:val="none"/>
        </w:rPr>
        <w:t xml:space="preserve"> de </w:t>
      </w:r>
      <w:r w:rsidR="008D667B">
        <w:rPr>
          <w:b w:val="0"/>
          <w:bCs/>
          <w:u w:val="none"/>
        </w:rPr>
        <w:t>junio</w:t>
      </w:r>
      <w:r>
        <w:rPr>
          <w:b w:val="0"/>
          <w:bCs/>
          <w:u w:val="none"/>
        </w:rPr>
        <w:t xml:space="preserve"> de 20</w:t>
      </w:r>
      <w:r w:rsidR="00103716">
        <w:rPr>
          <w:b w:val="0"/>
          <w:bCs/>
          <w:u w:val="none"/>
        </w:rPr>
        <w:t>2</w:t>
      </w:r>
      <w:r w:rsidR="008D667B">
        <w:rPr>
          <w:b w:val="0"/>
          <w:bCs/>
          <w:u w:val="none"/>
        </w:rPr>
        <w:t>2</w:t>
      </w:r>
      <w:r>
        <w:rPr>
          <w:b w:val="0"/>
          <w:bCs/>
          <w:u w:val="none"/>
        </w:rPr>
        <w:t xml:space="preserve"> </w:t>
      </w:r>
    </w:p>
    <w:p w14:paraId="64A4040F" w14:textId="77777777" w:rsidR="00690E78" w:rsidRDefault="00690E78" w:rsidP="00690E78">
      <w:pPr>
        <w:pStyle w:val="Ttulo"/>
      </w:pPr>
    </w:p>
    <w:p w14:paraId="033C94EF" w14:textId="77777777" w:rsidR="00690E78" w:rsidRDefault="00690E78" w:rsidP="00690E78">
      <w:pPr>
        <w:pStyle w:val="Ttulo"/>
      </w:pPr>
    </w:p>
    <w:p w14:paraId="462A545D" w14:textId="77777777" w:rsidR="00690E78" w:rsidRDefault="00690E78" w:rsidP="00690E78">
      <w:pPr>
        <w:pStyle w:val="Ttulo"/>
        <w:rPr>
          <w:color w:val="FF0000"/>
        </w:rPr>
      </w:pPr>
      <w:r>
        <w:t>RESOLUCIÓN DE GERENCIA GENERAL N°</w:t>
      </w:r>
    </w:p>
    <w:p w14:paraId="60F34ED3" w14:textId="77777777" w:rsidR="00690E78" w:rsidRDefault="00690E78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rPr>
          <w:rFonts w:ascii="Arial" w:hAnsi="Arial" w:cs="Arial"/>
          <w:sz w:val="22"/>
        </w:rPr>
      </w:pPr>
    </w:p>
    <w:p w14:paraId="7123D9BA" w14:textId="77777777" w:rsidR="00690E78" w:rsidRDefault="00690E78" w:rsidP="00690E78">
      <w:pPr>
        <w:pStyle w:val="Textoindependiente"/>
        <w:pBdr>
          <w:bottom w:val="single" w:sz="12" w:space="1" w:color="auto"/>
        </w:pBdr>
        <w:rPr>
          <w:rFonts w:cs="Arial"/>
          <w:bCs/>
          <w:sz w:val="22"/>
          <w:szCs w:val="22"/>
          <w:u w:val="single"/>
        </w:rPr>
      </w:pPr>
    </w:p>
    <w:p w14:paraId="3DA8BF67" w14:textId="7082612D" w:rsidR="00690E78" w:rsidRPr="00470BE9" w:rsidRDefault="00690E78" w:rsidP="00690E78">
      <w:pPr>
        <w:pStyle w:val="Textoindependiente"/>
        <w:pBdr>
          <w:bottom w:val="single" w:sz="12" w:space="1" w:color="auto"/>
        </w:pBdr>
        <w:rPr>
          <w:rFonts w:cs="Arial"/>
          <w:b w:val="0"/>
          <w:bCs/>
          <w:sz w:val="22"/>
          <w:szCs w:val="22"/>
        </w:rPr>
      </w:pPr>
      <w:r w:rsidRPr="00470BE9">
        <w:rPr>
          <w:rFonts w:cs="Arial"/>
          <w:bCs/>
          <w:sz w:val="22"/>
          <w:szCs w:val="22"/>
          <w:u w:val="single"/>
        </w:rPr>
        <w:t>MAT.:</w:t>
      </w:r>
      <w:r w:rsidRPr="00470BE9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 </w:t>
      </w:r>
      <w:r w:rsidRPr="00C1718F">
        <w:rPr>
          <w:rFonts w:cs="Arial"/>
          <w:b w:val="0"/>
          <w:bCs/>
          <w:sz w:val="22"/>
          <w:szCs w:val="22"/>
        </w:rPr>
        <w:t>Prorroga plazo de comercialización de</w:t>
      </w:r>
      <w:r w:rsidR="00103716">
        <w:rPr>
          <w:rFonts w:cs="Arial"/>
          <w:b w:val="0"/>
          <w:bCs/>
          <w:sz w:val="22"/>
          <w:szCs w:val="22"/>
        </w:rPr>
        <w:t xml:space="preserve"> los</w:t>
      </w:r>
      <w:r w:rsidRPr="00C1718F">
        <w:rPr>
          <w:rFonts w:cs="Arial"/>
          <w:b w:val="0"/>
          <w:bCs/>
          <w:sz w:val="22"/>
          <w:szCs w:val="22"/>
        </w:rPr>
        <w:t xml:space="preserve"> Sorteo</w:t>
      </w:r>
      <w:r w:rsidR="00103716">
        <w:rPr>
          <w:rFonts w:cs="Arial"/>
          <w:b w:val="0"/>
          <w:bCs/>
          <w:sz w:val="22"/>
          <w:szCs w:val="22"/>
        </w:rPr>
        <w:t>s</w:t>
      </w:r>
      <w:r w:rsidRPr="00C1718F">
        <w:rPr>
          <w:rFonts w:cs="Arial"/>
          <w:b w:val="0"/>
          <w:bCs/>
          <w:sz w:val="22"/>
          <w:szCs w:val="22"/>
        </w:rPr>
        <w:t xml:space="preserve"> Instantáneo</w:t>
      </w:r>
      <w:r w:rsidR="00103716">
        <w:rPr>
          <w:rFonts w:cs="Arial"/>
          <w:b w:val="0"/>
          <w:bCs/>
          <w:sz w:val="22"/>
          <w:szCs w:val="22"/>
        </w:rPr>
        <w:t>s</w:t>
      </w:r>
      <w:r w:rsidRPr="00C1718F">
        <w:rPr>
          <w:rFonts w:cs="Arial"/>
          <w:b w:val="0"/>
          <w:bCs/>
          <w:sz w:val="22"/>
          <w:szCs w:val="22"/>
        </w:rPr>
        <w:t xml:space="preserve"> denominado</w:t>
      </w:r>
      <w:r w:rsidR="00103716">
        <w:rPr>
          <w:rFonts w:cs="Arial"/>
          <w:b w:val="0"/>
          <w:bCs/>
          <w:sz w:val="22"/>
          <w:szCs w:val="22"/>
        </w:rPr>
        <w:t xml:space="preserve">s </w:t>
      </w:r>
      <w:r w:rsidRPr="00A96FAF">
        <w:rPr>
          <w:rFonts w:cs="Arial"/>
          <w:b w:val="0"/>
          <w:bCs/>
          <w:sz w:val="22"/>
          <w:szCs w:val="22"/>
        </w:rPr>
        <w:t>Raspe “</w:t>
      </w:r>
      <w:r w:rsidR="00A96FAF" w:rsidRPr="00A96FAF">
        <w:rPr>
          <w:rFonts w:cs="Arial"/>
          <w:b w:val="0"/>
          <w:bCs/>
          <w:sz w:val="22"/>
          <w:szCs w:val="22"/>
        </w:rPr>
        <w:t xml:space="preserve">Rueda de la fortuna </w:t>
      </w:r>
      <w:r w:rsidR="00103716" w:rsidRPr="00A96FAF">
        <w:rPr>
          <w:rFonts w:cs="Arial"/>
          <w:b w:val="0"/>
          <w:bCs/>
          <w:sz w:val="22"/>
          <w:szCs w:val="22"/>
        </w:rPr>
        <w:t>$</w:t>
      </w:r>
      <w:r w:rsidR="00A96FAF" w:rsidRPr="00A96FAF">
        <w:rPr>
          <w:rFonts w:cs="Arial"/>
          <w:b w:val="0"/>
          <w:bCs/>
          <w:sz w:val="22"/>
          <w:szCs w:val="22"/>
        </w:rPr>
        <w:t>250</w:t>
      </w:r>
      <w:r w:rsidRPr="00A96FAF">
        <w:rPr>
          <w:rFonts w:cs="Arial"/>
          <w:b w:val="0"/>
          <w:bCs/>
          <w:sz w:val="22"/>
          <w:szCs w:val="22"/>
        </w:rPr>
        <w:t xml:space="preserve">”, juego </w:t>
      </w:r>
      <w:proofErr w:type="spellStart"/>
      <w:r w:rsidRPr="00A96FAF">
        <w:rPr>
          <w:rFonts w:cs="Arial"/>
          <w:b w:val="0"/>
          <w:bCs/>
          <w:sz w:val="22"/>
          <w:szCs w:val="22"/>
        </w:rPr>
        <w:t>N°</w:t>
      </w:r>
      <w:proofErr w:type="spellEnd"/>
      <w:r w:rsidRPr="00A96FAF">
        <w:rPr>
          <w:rFonts w:cs="Arial"/>
          <w:b w:val="0"/>
          <w:bCs/>
          <w:sz w:val="22"/>
          <w:szCs w:val="22"/>
        </w:rPr>
        <w:t xml:space="preserve"> </w:t>
      </w:r>
      <w:r w:rsidR="00103716" w:rsidRPr="00A96FAF">
        <w:rPr>
          <w:rFonts w:cs="Arial"/>
          <w:b w:val="0"/>
          <w:bCs/>
          <w:sz w:val="22"/>
          <w:szCs w:val="22"/>
        </w:rPr>
        <w:t>4</w:t>
      </w:r>
      <w:r w:rsidR="00A96FAF" w:rsidRPr="00A96FAF">
        <w:rPr>
          <w:rFonts w:cs="Arial"/>
          <w:b w:val="0"/>
          <w:bCs/>
          <w:sz w:val="22"/>
          <w:szCs w:val="22"/>
        </w:rPr>
        <w:t xml:space="preserve">26, “Rueda de la fortuna $500”, juego </w:t>
      </w:r>
      <w:proofErr w:type="spellStart"/>
      <w:r w:rsidR="00A96FAF" w:rsidRPr="00A96FAF">
        <w:rPr>
          <w:rFonts w:cs="Arial"/>
          <w:b w:val="0"/>
          <w:bCs/>
          <w:sz w:val="22"/>
          <w:szCs w:val="22"/>
        </w:rPr>
        <w:t>N°</w:t>
      </w:r>
      <w:proofErr w:type="spellEnd"/>
      <w:r w:rsidR="00A96FAF" w:rsidRPr="00A96FAF">
        <w:rPr>
          <w:rFonts w:cs="Arial"/>
          <w:b w:val="0"/>
          <w:bCs/>
          <w:sz w:val="22"/>
          <w:szCs w:val="22"/>
        </w:rPr>
        <w:t xml:space="preserve"> 427, “Hiper Trébol millonario $500”, juego N°418 y “Mega Trébol millonario $1.000”, juego N°419</w:t>
      </w:r>
    </w:p>
    <w:p w14:paraId="0DC3B27B" w14:textId="77777777" w:rsidR="00690E78" w:rsidRPr="00470BE9" w:rsidRDefault="00690E78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14:paraId="27A2C6EB" w14:textId="77777777" w:rsidR="00690E78" w:rsidRPr="00470BE9" w:rsidRDefault="00690E78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470BE9">
        <w:rPr>
          <w:rFonts w:ascii="Arial" w:hAnsi="Arial" w:cs="Arial"/>
          <w:b/>
          <w:sz w:val="22"/>
          <w:szCs w:val="22"/>
        </w:rPr>
        <w:t>VISTOS</w:t>
      </w:r>
      <w:r w:rsidRPr="00470BE9">
        <w:rPr>
          <w:rFonts w:ascii="Arial" w:hAnsi="Arial" w:cs="Arial"/>
          <w:sz w:val="22"/>
          <w:szCs w:val="22"/>
        </w:rPr>
        <w:t>:</w:t>
      </w:r>
    </w:p>
    <w:p w14:paraId="2AB5DB9F" w14:textId="77777777" w:rsidR="00690E78" w:rsidRPr="00470BE9" w:rsidRDefault="00690E78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14:paraId="1DB729B9" w14:textId="77777777" w:rsidR="00690E78" w:rsidRPr="00470BE9" w:rsidRDefault="00690E78" w:rsidP="00690E78">
      <w:pPr>
        <w:numPr>
          <w:ilvl w:val="0"/>
          <w:numId w:val="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  <w:lang w:val="es-ES"/>
        </w:rPr>
      </w:pPr>
      <w:r w:rsidRPr="00470BE9">
        <w:rPr>
          <w:rFonts w:ascii="Arial" w:hAnsi="Arial" w:cs="Arial"/>
          <w:sz w:val="22"/>
          <w:szCs w:val="22"/>
          <w:lang w:val="es-ES"/>
        </w:rPr>
        <w:t>El D.F.L. 120 de 1960, cuyo texto refundido, coordinado y sistematizado, fue fijado por el D.S. Nº 152 de 1980, del Ministerio de Hacienda; y el D.S. Nº 1.470, de fecha 15 de Diciembre de 1995 del Ministerio de Hacienda, publicado en el Diario Oficial de fecha 1 de Abril de 1996, que reglamenta la operación de la modalidad de premiación instantánea, que forma parte integrante de los Sorteos de Lotería Tradicional.</w:t>
      </w:r>
    </w:p>
    <w:p w14:paraId="16C85236" w14:textId="77777777" w:rsidR="00690E78" w:rsidRPr="00470BE9" w:rsidRDefault="00690E78" w:rsidP="00690E78">
      <w:pPr>
        <w:numPr>
          <w:ilvl w:val="12"/>
          <w:numId w:val="0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14:paraId="1E069758" w14:textId="77777777" w:rsidR="00690E78" w:rsidRPr="00470BE9" w:rsidRDefault="00690E78" w:rsidP="00690E78">
      <w:pPr>
        <w:numPr>
          <w:ilvl w:val="0"/>
          <w:numId w:val="1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470BE9">
        <w:rPr>
          <w:rFonts w:ascii="Arial" w:hAnsi="Arial" w:cs="Arial"/>
          <w:sz w:val="22"/>
          <w:szCs w:val="22"/>
        </w:rPr>
        <w:t>Las facultades conferidas a esta Gerencia General  por el Honorable Directorio de Polla Chilena de Beneficencia S.A. en la sesión N° 460  de  fecha 22 de mayo de 2008, cuya Acta fue reducida a escritura pública de fecha 6 de junio de 2008, otorgada  ante el Notario Público de Santiago don Osvaldo Pereira González.</w:t>
      </w:r>
    </w:p>
    <w:p w14:paraId="7DE8C782" w14:textId="77777777" w:rsidR="00690E78" w:rsidRPr="00A96FAF" w:rsidRDefault="00690E78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</w:rPr>
      </w:pPr>
    </w:p>
    <w:p w14:paraId="58F72A8E" w14:textId="08E7E892" w:rsidR="00A96FAF" w:rsidRPr="00A96FAF" w:rsidRDefault="00690E78" w:rsidP="00E533F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</w:rPr>
      </w:pPr>
      <w:r w:rsidRPr="00A96FAF">
        <w:rPr>
          <w:rFonts w:ascii="Arial" w:hAnsi="Arial" w:cs="Arial"/>
          <w:sz w:val="22"/>
          <w:szCs w:val="22"/>
        </w:rPr>
        <w:t>3.-</w:t>
      </w:r>
      <w:r w:rsidRPr="00A96FAF">
        <w:rPr>
          <w:rFonts w:ascii="Arial" w:hAnsi="Arial" w:cs="Arial"/>
          <w:sz w:val="22"/>
          <w:szCs w:val="22"/>
        </w:rPr>
        <w:tab/>
        <w:t xml:space="preserve">Que mediante </w:t>
      </w:r>
      <w:r w:rsidR="00E533F8" w:rsidRPr="00A96FAF">
        <w:rPr>
          <w:rFonts w:ascii="Arial" w:hAnsi="Arial" w:cs="Arial"/>
          <w:sz w:val="22"/>
          <w:szCs w:val="22"/>
        </w:rPr>
        <w:t>las Resoluciones</w:t>
      </w:r>
      <w:r w:rsidRPr="00A96FAF">
        <w:rPr>
          <w:rFonts w:ascii="Arial" w:hAnsi="Arial" w:cs="Arial"/>
          <w:sz w:val="22"/>
          <w:szCs w:val="22"/>
        </w:rPr>
        <w:t xml:space="preserve"> de Gerencia General</w:t>
      </w:r>
      <w:r w:rsidR="00A96FAF" w:rsidRPr="00A96FAF">
        <w:rPr>
          <w:rFonts w:ascii="Arial" w:hAnsi="Arial" w:cs="Arial"/>
          <w:sz w:val="22"/>
          <w:szCs w:val="22"/>
        </w:rPr>
        <w:t>:</w:t>
      </w:r>
    </w:p>
    <w:p w14:paraId="0DA0D4C7" w14:textId="489EFD64" w:rsidR="00A96FAF" w:rsidRPr="00A96FAF" w:rsidRDefault="00A96FAF" w:rsidP="00A96FAF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200" w:hanging="600"/>
        <w:jc w:val="both"/>
        <w:rPr>
          <w:rFonts w:ascii="Arial" w:hAnsi="Arial" w:cs="Arial"/>
          <w:sz w:val="22"/>
          <w:szCs w:val="22"/>
        </w:rPr>
      </w:pPr>
      <w:r w:rsidRPr="00A96FAF">
        <w:rPr>
          <w:rFonts w:ascii="Arial" w:hAnsi="Arial" w:cs="Arial"/>
          <w:sz w:val="22"/>
          <w:szCs w:val="22"/>
        </w:rPr>
        <w:t xml:space="preserve">a) </w:t>
      </w:r>
      <w:r w:rsidR="00690E78" w:rsidRPr="00A96FA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90E78" w:rsidRPr="00A96FAF">
        <w:rPr>
          <w:rFonts w:ascii="Arial" w:hAnsi="Arial" w:cs="Arial"/>
          <w:sz w:val="22"/>
          <w:szCs w:val="22"/>
        </w:rPr>
        <w:t>N°</w:t>
      </w:r>
      <w:proofErr w:type="spellEnd"/>
      <w:r w:rsidR="00690E78" w:rsidRPr="00A96FAF">
        <w:rPr>
          <w:rFonts w:ascii="Arial" w:hAnsi="Arial" w:cs="Arial"/>
          <w:sz w:val="22"/>
          <w:szCs w:val="22"/>
        </w:rPr>
        <w:t xml:space="preserve"> </w:t>
      </w:r>
      <w:r w:rsidRPr="00A96FAF">
        <w:rPr>
          <w:rFonts w:ascii="Arial" w:hAnsi="Arial" w:cs="Arial"/>
          <w:sz w:val="22"/>
          <w:szCs w:val="22"/>
        </w:rPr>
        <w:t>33 y N°32. de 19 de junio de 2020, se fijó el procedimiento y condiciones técnicas para la emisión de 2.500.000 cupones de la modalidad de premiación instantánea, bajo el nombre comercial de Rueda de la fortuna $250 y de 2.000.000 cupones de Rueda de la fortuna $500.-</w:t>
      </w:r>
    </w:p>
    <w:p w14:paraId="504245D4" w14:textId="77777777" w:rsidR="00A96FAF" w:rsidRPr="00A96FAF" w:rsidRDefault="00A96FAF" w:rsidP="00A96FAF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200" w:hanging="600"/>
        <w:jc w:val="both"/>
        <w:rPr>
          <w:rFonts w:ascii="Arial" w:hAnsi="Arial" w:cs="Arial"/>
          <w:sz w:val="22"/>
          <w:szCs w:val="22"/>
        </w:rPr>
      </w:pPr>
    </w:p>
    <w:p w14:paraId="663ABD6F" w14:textId="166BB761" w:rsidR="00690E78" w:rsidRPr="00A96FAF" w:rsidRDefault="00A96FAF" w:rsidP="00A96FAF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1200" w:hanging="600"/>
        <w:jc w:val="both"/>
        <w:rPr>
          <w:rFonts w:ascii="Arial" w:hAnsi="Arial" w:cs="Arial"/>
          <w:sz w:val="22"/>
          <w:szCs w:val="22"/>
        </w:rPr>
      </w:pPr>
      <w:r w:rsidRPr="00A96FAF">
        <w:rPr>
          <w:rFonts w:ascii="Arial" w:hAnsi="Arial" w:cs="Arial"/>
          <w:sz w:val="22"/>
          <w:szCs w:val="22"/>
        </w:rPr>
        <w:t>b) N°216</w:t>
      </w:r>
      <w:r w:rsidR="00E533F8" w:rsidRPr="00A96FAF">
        <w:rPr>
          <w:rFonts w:ascii="Arial" w:hAnsi="Arial" w:cs="Arial"/>
          <w:sz w:val="22"/>
          <w:szCs w:val="22"/>
        </w:rPr>
        <w:t xml:space="preserve"> y </w:t>
      </w:r>
      <w:proofErr w:type="spellStart"/>
      <w:r w:rsidR="00E533F8" w:rsidRPr="00A96FAF">
        <w:rPr>
          <w:rFonts w:ascii="Arial" w:hAnsi="Arial" w:cs="Arial"/>
          <w:sz w:val="22"/>
          <w:szCs w:val="22"/>
        </w:rPr>
        <w:t>N°</w:t>
      </w:r>
      <w:proofErr w:type="spellEnd"/>
      <w:r w:rsidR="00690E78" w:rsidRPr="00A96FAF">
        <w:rPr>
          <w:rFonts w:ascii="Arial" w:hAnsi="Arial" w:cs="Arial"/>
          <w:sz w:val="22"/>
          <w:szCs w:val="22"/>
        </w:rPr>
        <w:t xml:space="preserve"> </w:t>
      </w:r>
      <w:r w:rsidRPr="00A96FAF">
        <w:rPr>
          <w:rFonts w:ascii="Arial" w:hAnsi="Arial" w:cs="Arial"/>
          <w:sz w:val="22"/>
          <w:szCs w:val="22"/>
        </w:rPr>
        <w:t xml:space="preserve">217 </w:t>
      </w:r>
      <w:r w:rsidR="00690E78" w:rsidRPr="00A96FAF">
        <w:rPr>
          <w:rFonts w:ascii="Arial" w:hAnsi="Arial" w:cs="Arial"/>
          <w:sz w:val="22"/>
          <w:szCs w:val="22"/>
        </w:rPr>
        <w:t xml:space="preserve">de </w:t>
      </w:r>
      <w:r w:rsidRPr="00A96FAF">
        <w:rPr>
          <w:rFonts w:ascii="Arial" w:hAnsi="Arial" w:cs="Arial"/>
          <w:sz w:val="22"/>
          <w:szCs w:val="22"/>
        </w:rPr>
        <w:t>08</w:t>
      </w:r>
      <w:r w:rsidR="00690E78" w:rsidRPr="00A96FAF">
        <w:rPr>
          <w:rFonts w:ascii="Arial" w:hAnsi="Arial" w:cs="Arial"/>
          <w:sz w:val="22"/>
          <w:szCs w:val="22"/>
        </w:rPr>
        <w:t xml:space="preserve"> de </w:t>
      </w:r>
      <w:r w:rsidRPr="00A96FAF">
        <w:rPr>
          <w:rFonts w:ascii="Arial" w:hAnsi="Arial" w:cs="Arial"/>
          <w:sz w:val="22"/>
          <w:szCs w:val="22"/>
        </w:rPr>
        <w:t xml:space="preserve">julio </w:t>
      </w:r>
      <w:r w:rsidR="00690E78" w:rsidRPr="00A96FAF">
        <w:rPr>
          <w:rFonts w:ascii="Arial" w:hAnsi="Arial" w:cs="Arial"/>
          <w:sz w:val="22"/>
          <w:szCs w:val="22"/>
        </w:rPr>
        <w:t>de 201</w:t>
      </w:r>
      <w:r w:rsidR="00E533F8" w:rsidRPr="00A96FAF">
        <w:rPr>
          <w:rFonts w:ascii="Arial" w:hAnsi="Arial" w:cs="Arial"/>
          <w:sz w:val="22"/>
          <w:szCs w:val="22"/>
        </w:rPr>
        <w:t>9</w:t>
      </w:r>
      <w:r w:rsidR="00FE29D3" w:rsidRPr="00A96FAF">
        <w:rPr>
          <w:rFonts w:ascii="Arial" w:hAnsi="Arial" w:cs="Arial"/>
          <w:sz w:val="22"/>
          <w:szCs w:val="22"/>
        </w:rPr>
        <w:t>,</w:t>
      </w:r>
      <w:r w:rsidR="00690E78" w:rsidRPr="00A96FAF">
        <w:rPr>
          <w:rFonts w:ascii="Arial" w:hAnsi="Arial" w:cs="Arial"/>
          <w:sz w:val="22"/>
          <w:szCs w:val="22"/>
        </w:rPr>
        <w:t xml:space="preserve"> se fijó el procedimiento y condiciones técnicas para la emisión de 1</w:t>
      </w:r>
      <w:r w:rsidRPr="00A96FAF">
        <w:rPr>
          <w:rFonts w:ascii="Arial" w:hAnsi="Arial" w:cs="Arial"/>
          <w:sz w:val="22"/>
          <w:szCs w:val="22"/>
        </w:rPr>
        <w:t xml:space="preserve">.200.000 </w:t>
      </w:r>
      <w:r w:rsidR="00690E78" w:rsidRPr="00A96FAF">
        <w:rPr>
          <w:rFonts w:ascii="Arial" w:hAnsi="Arial" w:cs="Arial"/>
          <w:sz w:val="22"/>
          <w:szCs w:val="22"/>
        </w:rPr>
        <w:t xml:space="preserve">cupones de la modalidad de premiación instantánea, bajo el nombre comercial de </w:t>
      </w:r>
      <w:r w:rsidRPr="00A96FAF">
        <w:rPr>
          <w:rFonts w:ascii="Arial" w:hAnsi="Arial" w:cs="Arial"/>
          <w:sz w:val="22"/>
          <w:szCs w:val="22"/>
        </w:rPr>
        <w:t xml:space="preserve">Hiper Trébol millonario $500 y de 1.200.000 cupones de Mega Trébol millonario $1.000.- </w:t>
      </w:r>
    </w:p>
    <w:p w14:paraId="76824B39" w14:textId="77777777" w:rsidR="00690E78" w:rsidRPr="00A96FAF" w:rsidRDefault="00690E78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color w:val="FF0000"/>
          <w:sz w:val="22"/>
          <w:szCs w:val="22"/>
        </w:rPr>
      </w:pPr>
    </w:p>
    <w:p w14:paraId="7F8CCC3B" w14:textId="77777777" w:rsidR="00690E78" w:rsidRPr="00470BE9" w:rsidRDefault="00690E78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</w:rPr>
      </w:pPr>
    </w:p>
    <w:p w14:paraId="5783DD75" w14:textId="77777777" w:rsidR="00690E78" w:rsidRPr="00470BE9" w:rsidRDefault="00690E78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 w:cs="Arial"/>
          <w:b/>
          <w:sz w:val="22"/>
          <w:szCs w:val="22"/>
        </w:rPr>
      </w:pPr>
      <w:r w:rsidRPr="00470BE9">
        <w:rPr>
          <w:rFonts w:ascii="Arial" w:hAnsi="Arial" w:cs="Arial"/>
          <w:b/>
          <w:sz w:val="22"/>
          <w:szCs w:val="22"/>
        </w:rPr>
        <w:t>R E S U E L V O:</w:t>
      </w:r>
    </w:p>
    <w:p w14:paraId="78D3AC3D" w14:textId="77777777" w:rsidR="00690E78" w:rsidRPr="00103716" w:rsidRDefault="00690E78" w:rsidP="0010371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</w:rPr>
      </w:pPr>
    </w:p>
    <w:p w14:paraId="07A6670F" w14:textId="7B06D005" w:rsidR="00A96FAF" w:rsidRDefault="00690E78" w:rsidP="00A96FAF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  <w:lang w:val="es-ES"/>
        </w:rPr>
      </w:pPr>
      <w:r w:rsidRPr="00470BE9">
        <w:rPr>
          <w:rFonts w:ascii="Arial" w:hAnsi="Arial" w:cs="Arial"/>
          <w:sz w:val="22"/>
          <w:szCs w:val="22"/>
        </w:rPr>
        <w:t>1.-</w:t>
      </w:r>
      <w:r w:rsidRPr="00470BE9">
        <w:rPr>
          <w:rFonts w:ascii="Arial" w:hAnsi="Arial" w:cs="Arial"/>
          <w:sz w:val="22"/>
          <w:szCs w:val="22"/>
        </w:rPr>
        <w:tab/>
      </w:r>
      <w:r w:rsidRPr="00A96FAF">
        <w:rPr>
          <w:rFonts w:ascii="Arial" w:hAnsi="Arial" w:cs="Arial"/>
          <w:sz w:val="22"/>
          <w:szCs w:val="22"/>
          <w:lang w:val="es-ES"/>
        </w:rPr>
        <w:t xml:space="preserve">Prorrogar el plazo de vigencia </w:t>
      </w:r>
      <w:r w:rsidR="007A70CA" w:rsidRPr="00A96FAF">
        <w:rPr>
          <w:rFonts w:ascii="Arial" w:hAnsi="Arial" w:cs="Arial"/>
          <w:sz w:val="22"/>
          <w:szCs w:val="22"/>
          <w:lang w:val="es-ES"/>
        </w:rPr>
        <w:t>para comercializar la</w:t>
      </w:r>
      <w:r w:rsidR="00103716" w:rsidRPr="00A96FAF">
        <w:rPr>
          <w:rFonts w:ascii="Arial" w:hAnsi="Arial" w:cs="Arial"/>
          <w:sz w:val="22"/>
          <w:szCs w:val="22"/>
          <w:lang w:val="es-ES"/>
        </w:rPr>
        <w:t>s</w:t>
      </w:r>
      <w:r w:rsidR="007A70CA" w:rsidRPr="00A96FAF">
        <w:rPr>
          <w:rFonts w:ascii="Arial" w:hAnsi="Arial" w:cs="Arial"/>
          <w:sz w:val="22"/>
          <w:szCs w:val="22"/>
          <w:lang w:val="es-ES"/>
        </w:rPr>
        <w:t xml:space="preserve"> </w:t>
      </w:r>
      <w:r w:rsidR="00103716" w:rsidRPr="00A96FAF">
        <w:rPr>
          <w:rFonts w:ascii="Arial" w:hAnsi="Arial" w:cs="Arial"/>
          <w:sz w:val="22"/>
          <w:szCs w:val="22"/>
          <w:lang w:val="es-ES"/>
        </w:rPr>
        <w:t>emisiones</w:t>
      </w:r>
      <w:r w:rsidRPr="00A96FAF">
        <w:rPr>
          <w:rFonts w:ascii="Arial" w:hAnsi="Arial" w:cs="Arial"/>
          <w:sz w:val="22"/>
          <w:szCs w:val="22"/>
          <w:lang w:val="es-ES"/>
        </w:rPr>
        <w:t xml:space="preserve"> </w:t>
      </w:r>
      <w:r w:rsidR="007A70CA" w:rsidRPr="00A96FAF">
        <w:rPr>
          <w:rFonts w:ascii="Arial" w:hAnsi="Arial" w:cs="Arial"/>
          <w:sz w:val="22"/>
          <w:szCs w:val="22"/>
          <w:lang w:val="es-ES"/>
        </w:rPr>
        <w:t xml:space="preserve">de </w:t>
      </w:r>
      <w:r w:rsidR="00A96FAF" w:rsidRPr="00A96FAF">
        <w:rPr>
          <w:rFonts w:ascii="Arial" w:hAnsi="Arial" w:cs="Arial"/>
          <w:sz w:val="22"/>
          <w:szCs w:val="22"/>
          <w:lang w:val="es-ES"/>
        </w:rPr>
        <w:t>Raspe “Rueda de la fortuna $250”</w:t>
      </w:r>
      <w:r w:rsidR="00A96FAF">
        <w:rPr>
          <w:rFonts w:ascii="Arial" w:hAnsi="Arial" w:cs="Arial"/>
          <w:sz w:val="22"/>
          <w:szCs w:val="22"/>
          <w:lang w:val="es-ES"/>
        </w:rPr>
        <w:t xml:space="preserve"> fijado para el 22 de agosto de 2022 hasta el 2</w:t>
      </w:r>
      <w:r w:rsidR="008272FF">
        <w:rPr>
          <w:rFonts w:ascii="Arial" w:hAnsi="Arial" w:cs="Arial"/>
          <w:sz w:val="22"/>
          <w:szCs w:val="22"/>
          <w:lang w:val="es-ES"/>
        </w:rPr>
        <w:t>1</w:t>
      </w:r>
      <w:r w:rsidR="00A96FAF">
        <w:rPr>
          <w:rFonts w:ascii="Arial" w:hAnsi="Arial" w:cs="Arial"/>
          <w:sz w:val="22"/>
          <w:szCs w:val="22"/>
          <w:lang w:val="es-ES"/>
        </w:rPr>
        <w:t xml:space="preserve"> de agosto 2023</w:t>
      </w:r>
      <w:r w:rsidR="003C7234">
        <w:rPr>
          <w:rFonts w:ascii="Arial" w:hAnsi="Arial" w:cs="Arial"/>
          <w:sz w:val="22"/>
          <w:szCs w:val="22"/>
          <w:lang w:val="es-ES"/>
        </w:rPr>
        <w:t xml:space="preserve"> correspondiente al sorteo de Polla Boleto N°1951.</w:t>
      </w:r>
    </w:p>
    <w:p w14:paraId="5DEE2B3D" w14:textId="77777777" w:rsidR="00A96FAF" w:rsidRDefault="00A96FAF" w:rsidP="00A96FAF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  <w:lang w:val="es-ES"/>
        </w:rPr>
      </w:pPr>
    </w:p>
    <w:p w14:paraId="1C782C27" w14:textId="526BF195" w:rsidR="003C7234" w:rsidRDefault="00A96FAF" w:rsidP="003C7234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 xml:space="preserve">2.-     </w:t>
      </w:r>
      <w:r w:rsidRPr="00A96FAF">
        <w:rPr>
          <w:rFonts w:ascii="Arial" w:hAnsi="Arial" w:cs="Arial"/>
          <w:sz w:val="22"/>
          <w:szCs w:val="22"/>
        </w:rPr>
        <w:t>Prorrogar el plazo de vigencia para comercializar las emisiones de Raspe “Rueda de la fortuna $500” fijado para el 05 de septiembre de 2022 hasta el 0</w:t>
      </w:r>
      <w:r w:rsidR="008272FF">
        <w:rPr>
          <w:rFonts w:ascii="Arial" w:hAnsi="Arial" w:cs="Arial"/>
          <w:sz w:val="22"/>
          <w:szCs w:val="22"/>
        </w:rPr>
        <w:t>4</w:t>
      </w:r>
      <w:r w:rsidRPr="00A96FAF">
        <w:rPr>
          <w:rFonts w:ascii="Arial" w:hAnsi="Arial" w:cs="Arial"/>
          <w:sz w:val="22"/>
          <w:szCs w:val="22"/>
        </w:rPr>
        <w:t xml:space="preserve"> de septiembre 2023</w:t>
      </w:r>
      <w:r w:rsidR="003C7234" w:rsidRPr="003C7234">
        <w:rPr>
          <w:rFonts w:ascii="Arial" w:hAnsi="Arial" w:cs="Arial"/>
          <w:sz w:val="22"/>
          <w:szCs w:val="22"/>
          <w:lang w:val="es-ES"/>
        </w:rPr>
        <w:t xml:space="preserve"> </w:t>
      </w:r>
      <w:r w:rsidR="003C7234">
        <w:rPr>
          <w:rFonts w:ascii="Arial" w:hAnsi="Arial" w:cs="Arial"/>
          <w:sz w:val="22"/>
          <w:szCs w:val="22"/>
          <w:lang w:val="es-ES"/>
        </w:rPr>
        <w:t>correspondiente al sorteo de Polla Boleto N°195</w:t>
      </w:r>
      <w:r w:rsidR="003C7234">
        <w:rPr>
          <w:rFonts w:ascii="Arial" w:hAnsi="Arial" w:cs="Arial"/>
          <w:sz w:val="22"/>
          <w:szCs w:val="22"/>
          <w:lang w:val="es-ES"/>
        </w:rPr>
        <w:t>2</w:t>
      </w:r>
      <w:r w:rsidR="003C7234">
        <w:rPr>
          <w:rFonts w:ascii="Arial" w:hAnsi="Arial" w:cs="Arial"/>
          <w:sz w:val="22"/>
          <w:szCs w:val="22"/>
          <w:lang w:val="es-ES"/>
        </w:rPr>
        <w:t>.</w:t>
      </w:r>
    </w:p>
    <w:p w14:paraId="15981368" w14:textId="49429C40" w:rsidR="00A96FAF" w:rsidRPr="003C7234" w:rsidRDefault="00A96FAF" w:rsidP="00A96FAF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  <w:lang w:val="es-ES"/>
        </w:rPr>
      </w:pPr>
    </w:p>
    <w:p w14:paraId="4597FACB" w14:textId="34EB6A26" w:rsidR="003C7234" w:rsidRDefault="00A96FAF" w:rsidP="003C7234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</w:rPr>
        <w:t>3</w:t>
      </w:r>
      <w:r w:rsidRPr="00A96FAF">
        <w:rPr>
          <w:rFonts w:ascii="Arial" w:hAnsi="Arial" w:cs="Arial"/>
          <w:sz w:val="22"/>
          <w:szCs w:val="22"/>
        </w:rPr>
        <w:t xml:space="preserve">.-     Prorrogar el plazo de vigencia para comercializar las emisiones de Raspe </w:t>
      </w:r>
      <w:r w:rsidRPr="00A96FAF">
        <w:rPr>
          <w:rFonts w:ascii="Arial" w:hAnsi="Arial" w:cs="Arial"/>
          <w:sz w:val="22"/>
          <w:szCs w:val="22"/>
          <w:lang w:val="es-ES"/>
        </w:rPr>
        <w:t xml:space="preserve">“Hiper Trébol millonario $500” y “Mega Trébol millonario $1.000” </w:t>
      </w:r>
      <w:r w:rsidR="00690E78" w:rsidRPr="00A96FAF">
        <w:rPr>
          <w:rFonts w:ascii="Arial" w:hAnsi="Arial" w:cs="Arial"/>
          <w:sz w:val="22"/>
          <w:szCs w:val="22"/>
        </w:rPr>
        <w:t xml:space="preserve">fijado para el </w:t>
      </w:r>
      <w:r w:rsidRPr="00A96FAF">
        <w:rPr>
          <w:rFonts w:ascii="Arial" w:hAnsi="Arial" w:cs="Arial"/>
          <w:sz w:val="22"/>
          <w:szCs w:val="22"/>
        </w:rPr>
        <w:t>27</w:t>
      </w:r>
      <w:r w:rsidR="00690E78" w:rsidRPr="00A96FAF">
        <w:rPr>
          <w:rFonts w:ascii="Arial" w:hAnsi="Arial" w:cs="Arial"/>
          <w:sz w:val="22"/>
          <w:szCs w:val="22"/>
        </w:rPr>
        <w:t xml:space="preserve"> de </w:t>
      </w:r>
      <w:r w:rsidRPr="00A96FAF">
        <w:rPr>
          <w:rFonts w:ascii="Arial" w:hAnsi="Arial" w:cs="Arial"/>
          <w:sz w:val="22"/>
          <w:szCs w:val="22"/>
        </w:rPr>
        <w:t>junio</w:t>
      </w:r>
      <w:r w:rsidR="00690E78" w:rsidRPr="00A96FAF">
        <w:rPr>
          <w:rFonts w:ascii="Arial" w:hAnsi="Arial" w:cs="Arial"/>
          <w:sz w:val="22"/>
          <w:szCs w:val="22"/>
        </w:rPr>
        <w:t xml:space="preserve"> de 20</w:t>
      </w:r>
      <w:r w:rsidR="00103716" w:rsidRPr="00A96FAF">
        <w:rPr>
          <w:rFonts w:ascii="Arial" w:hAnsi="Arial" w:cs="Arial"/>
          <w:sz w:val="22"/>
          <w:szCs w:val="22"/>
        </w:rPr>
        <w:t>2</w:t>
      </w:r>
      <w:r w:rsidRPr="00A96FAF">
        <w:rPr>
          <w:rFonts w:ascii="Arial" w:hAnsi="Arial" w:cs="Arial"/>
          <w:sz w:val="22"/>
          <w:szCs w:val="22"/>
        </w:rPr>
        <w:t>2</w:t>
      </w:r>
      <w:r w:rsidR="00690E78" w:rsidRPr="00A96FAF">
        <w:rPr>
          <w:rFonts w:ascii="Arial" w:hAnsi="Arial" w:cs="Arial"/>
          <w:sz w:val="22"/>
          <w:szCs w:val="22"/>
        </w:rPr>
        <w:t xml:space="preserve"> </w:t>
      </w:r>
      <w:r w:rsidR="000E23CF" w:rsidRPr="00A96FAF">
        <w:rPr>
          <w:rFonts w:ascii="Arial" w:hAnsi="Arial" w:cs="Arial"/>
          <w:sz w:val="22"/>
          <w:szCs w:val="22"/>
        </w:rPr>
        <w:t xml:space="preserve">hasta el </w:t>
      </w:r>
      <w:r w:rsidRPr="00A96FAF">
        <w:rPr>
          <w:rFonts w:ascii="Arial" w:hAnsi="Arial" w:cs="Arial"/>
          <w:sz w:val="22"/>
          <w:szCs w:val="22"/>
        </w:rPr>
        <w:t>2</w:t>
      </w:r>
      <w:r w:rsidR="008272FF">
        <w:rPr>
          <w:rFonts w:ascii="Arial" w:hAnsi="Arial" w:cs="Arial"/>
          <w:sz w:val="22"/>
          <w:szCs w:val="22"/>
        </w:rPr>
        <w:t>6</w:t>
      </w:r>
      <w:r w:rsidR="00690E78" w:rsidRPr="00A96FAF">
        <w:rPr>
          <w:rFonts w:ascii="Arial" w:hAnsi="Arial" w:cs="Arial"/>
          <w:sz w:val="22"/>
          <w:szCs w:val="22"/>
        </w:rPr>
        <w:t xml:space="preserve"> de </w:t>
      </w:r>
      <w:r w:rsidRPr="00A96FAF">
        <w:rPr>
          <w:rFonts w:ascii="Arial" w:hAnsi="Arial" w:cs="Arial"/>
          <w:sz w:val="22"/>
          <w:szCs w:val="22"/>
        </w:rPr>
        <w:t>junio</w:t>
      </w:r>
      <w:r w:rsidR="00690E78" w:rsidRPr="00A96FAF">
        <w:rPr>
          <w:rFonts w:ascii="Arial" w:hAnsi="Arial" w:cs="Arial"/>
          <w:sz w:val="22"/>
          <w:szCs w:val="22"/>
        </w:rPr>
        <w:t xml:space="preserve"> de 20</w:t>
      </w:r>
      <w:r w:rsidR="00103716" w:rsidRPr="00A96FAF">
        <w:rPr>
          <w:rFonts w:ascii="Arial" w:hAnsi="Arial" w:cs="Arial"/>
          <w:sz w:val="22"/>
          <w:szCs w:val="22"/>
        </w:rPr>
        <w:t>2</w:t>
      </w:r>
      <w:r w:rsidRPr="00A96FAF">
        <w:rPr>
          <w:rFonts w:ascii="Arial" w:hAnsi="Arial" w:cs="Arial"/>
          <w:sz w:val="22"/>
          <w:szCs w:val="22"/>
        </w:rPr>
        <w:t>3</w:t>
      </w:r>
      <w:r w:rsidR="003C7234">
        <w:rPr>
          <w:rFonts w:ascii="Arial" w:hAnsi="Arial" w:cs="Arial"/>
          <w:sz w:val="22"/>
          <w:szCs w:val="22"/>
        </w:rPr>
        <w:t xml:space="preserve"> </w:t>
      </w:r>
      <w:r w:rsidR="003C7234">
        <w:rPr>
          <w:rFonts w:ascii="Arial" w:hAnsi="Arial" w:cs="Arial"/>
          <w:sz w:val="22"/>
          <w:szCs w:val="22"/>
          <w:lang w:val="es-ES"/>
        </w:rPr>
        <w:t>correspondiente al sorteo de Polla Boleto N°19</w:t>
      </w:r>
      <w:r w:rsidR="003C7234">
        <w:rPr>
          <w:rFonts w:ascii="Arial" w:hAnsi="Arial" w:cs="Arial"/>
          <w:sz w:val="22"/>
          <w:szCs w:val="22"/>
          <w:lang w:val="es-ES"/>
        </w:rPr>
        <w:t>47</w:t>
      </w:r>
      <w:r w:rsidR="003C7234">
        <w:rPr>
          <w:rFonts w:ascii="Arial" w:hAnsi="Arial" w:cs="Arial"/>
          <w:sz w:val="22"/>
          <w:szCs w:val="22"/>
          <w:lang w:val="es-ES"/>
        </w:rPr>
        <w:t>.</w:t>
      </w:r>
    </w:p>
    <w:p w14:paraId="6B839F16" w14:textId="727D2598" w:rsidR="00690E78" w:rsidRPr="00A96FAF" w:rsidRDefault="00690E78" w:rsidP="00A96FAF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  <w:lang w:val="es-ES"/>
        </w:rPr>
      </w:pPr>
    </w:p>
    <w:p w14:paraId="174827FF" w14:textId="77777777" w:rsidR="00616725" w:rsidRPr="00616725" w:rsidRDefault="00690E78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</w:rPr>
      </w:pPr>
      <w:r w:rsidRPr="00470BE9">
        <w:rPr>
          <w:rFonts w:ascii="Arial" w:hAnsi="Arial" w:cs="Arial"/>
          <w:sz w:val="22"/>
          <w:szCs w:val="22"/>
        </w:rPr>
        <w:t>2</w:t>
      </w:r>
      <w:r w:rsidRPr="00616725">
        <w:rPr>
          <w:rFonts w:ascii="Arial" w:hAnsi="Arial" w:cs="Arial"/>
          <w:sz w:val="22"/>
          <w:szCs w:val="22"/>
        </w:rPr>
        <w:t>.-</w:t>
      </w:r>
      <w:r w:rsidRPr="00616725">
        <w:rPr>
          <w:rFonts w:ascii="Arial" w:hAnsi="Arial" w:cs="Arial"/>
          <w:sz w:val="22"/>
          <w:szCs w:val="22"/>
        </w:rPr>
        <w:tab/>
        <w:t xml:space="preserve">Despáchese circular informativa a todos los Agentes de la </w:t>
      </w:r>
      <w:r w:rsidR="007A70CA" w:rsidRPr="00616725">
        <w:rPr>
          <w:rFonts w:ascii="Arial" w:hAnsi="Arial" w:cs="Arial"/>
          <w:sz w:val="22"/>
          <w:szCs w:val="22"/>
        </w:rPr>
        <w:t>empresa</w:t>
      </w:r>
      <w:r w:rsidRPr="00616725">
        <w:rPr>
          <w:rFonts w:ascii="Arial" w:hAnsi="Arial" w:cs="Arial"/>
          <w:sz w:val="22"/>
          <w:szCs w:val="22"/>
        </w:rPr>
        <w:t xml:space="preserve"> informando de la prorroga del plazo</w:t>
      </w:r>
      <w:r w:rsidR="007A70CA" w:rsidRPr="00616725">
        <w:rPr>
          <w:rFonts w:ascii="Arial" w:hAnsi="Arial" w:cs="Arial"/>
          <w:sz w:val="22"/>
          <w:szCs w:val="22"/>
        </w:rPr>
        <w:t xml:space="preserve">, </w:t>
      </w:r>
      <w:r w:rsidRPr="00616725">
        <w:rPr>
          <w:rFonts w:ascii="Arial" w:hAnsi="Arial" w:cs="Arial"/>
          <w:sz w:val="22"/>
          <w:szCs w:val="22"/>
        </w:rPr>
        <w:t>y</w:t>
      </w:r>
      <w:r w:rsidR="00FE29D3" w:rsidRPr="00616725">
        <w:rPr>
          <w:rFonts w:ascii="Arial" w:hAnsi="Arial" w:cs="Arial"/>
          <w:sz w:val="22"/>
          <w:szCs w:val="22"/>
        </w:rPr>
        <w:t xml:space="preserve"> comuníquese </w:t>
      </w:r>
      <w:r w:rsidRPr="00616725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103716" w:rsidRPr="00616725">
        <w:rPr>
          <w:rFonts w:ascii="Arial" w:hAnsi="Arial" w:cs="Arial"/>
          <w:sz w:val="22"/>
          <w:szCs w:val="22"/>
        </w:rPr>
        <w:t>Intralot</w:t>
      </w:r>
      <w:proofErr w:type="spellEnd"/>
      <w:r w:rsidR="00103716" w:rsidRPr="00616725">
        <w:rPr>
          <w:rFonts w:ascii="Arial" w:hAnsi="Arial" w:cs="Arial"/>
          <w:sz w:val="22"/>
          <w:szCs w:val="22"/>
        </w:rPr>
        <w:t xml:space="preserve"> Chile</w:t>
      </w:r>
      <w:r w:rsidRPr="00616725">
        <w:rPr>
          <w:rFonts w:ascii="Arial" w:hAnsi="Arial" w:cs="Arial"/>
          <w:sz w:val="22"/>
          <w:szCs w:val="22"/>
        </w:rPr>
        <w:t xml:space="preserve"> para que el Sistema de Captación de Apuestas</w:t>
      </w:r>
      <w:r w:rsidR="000E23CF" w:rsidRPr="00616725">
        <w:rPr>
          <w:rFonts w:ascii="Arial" w:hAnsi="Arial" w:cs="Arial"/>
          <w:sz w:val="22"/>
          <w:szCs w:val="22"/>
        </w:rPr>
        <w:t xml:space="preserve"> valide los premios</w:t>
      </w:r>
      <w:r w:rsidR="00616725" w:rsidRPr="00616725">
        <w:rPr>
          <w:rFonts w:ascii="Arial" w:hAnsi="Arial" w:cs="Arial"/>
          <w:sz w:val="22"/>
          <w:szCs w:val="22"/>
        </w:rPr>
        <w:t>:</w:t>
      </w:r>
    </w:p>
    <w:p w14:paraId="32925621" w14:textId="77777777" w:rsidR="00616725" w:rsidRPr="00616725" w:rsidRDefault="00616725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</w:rPr>
      </w:pPr>
    </w:p>
    <w:p w14:paraId="7A295E37" w14:textId="77777777" w:rsidR="00616725" w:rsidRPr="00616725" w:rsidRDefault="00616725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</w:rPr>
      </w:pPr>
    </w:p>
    <w:p w14:paraId="114DD692" w14:textId="79FDA39C" w:rsidR="007A70CA" w:rsidRPr="00616725" w:rsidRDefault="00616725" w:rsidP="00616725">
      <w:pPr>
        <w:pStyle w:val="Prrafodelista"/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616725">
        <w:rPr>
          <w:rFonts w:ascii="Arial" w:hAnsi="Arial" w:cs="Arial"/>
          <w:sz w:val="22"/>
          <w:szCs w:val="22"/>
          <w:lang w:val="es-ES"/>
        </w:rPr>
        <w:t xml:space="preserve">Raspe “Rueda de la fortuna $250” </w:t>
      </w:r>
      <w:r w:rsidR="000E23CF" w:rsidRPr="00616725">
        <w:rPr>
          <w:rFonts w:ascii="Arial" w:hAnsi="Arial" w:cs="Arial"/>
          <w:sz w:val="22"/>
          <w:szCs w:val="22"/>
        </w:rPr>
        <w:t xml:space="preserve">hasta el </w:t>
      </w:r>
      <w:r w:rsidRPr="00616725">
        <w:rPr>
          <w:rFonts w:ascii="Arial" w:hAnsi="Arial" w:cs="Arial"/>
          <w:sz w:val="22"/>
          <w:szCs w:val="22"/>
        </w:rPr>
        <w:t>2</w:t>
      </w:r>
      <w:r w:rsidR="008272FF">
        <w:rPr>
          <w:rFonts w:ascii="Arial" w:hAnsi="Arial" w:cs="Arial"/>
          <w:sz w:val="22"/>
          <w:szCs w:val="22"/>
        </w:rPr>
        <w:t>0</w:t>
      </w:r>
      <w:r w:rsidR="007A70CA" w:rsidRPr="00616725">
        <w:rPr>
          <w:rFonts w:ascii="Arial" w:hAnsi="Arial" w:cs="Arial"/>
          <w:sz w:val="22"/>
          <w:szCs w:val="22"/>
        </w:rPr>
        <w:t xml:space="preserve"> de </w:t>
      </w:r>
      <w:r w:rsidRPr="00616725">
        <w:rPr>
          <w:rFonts w:ascii="Arial" w:hAnsi="Arial" w:cs="Arial"/>
          <w:sz w:val="22"/>
          <w:szCs w:val="22"/>
        </w:rPr>
        <w:t>octubre</w:t>
      </w:r>
      <w:r w:rsidR="007A70CA" w:rsidRPr="00616725">
        <w:rPr>
          <w:rFonts w:ascii="Arial" w:hAnsi="Arial" w:cs="Arial"/>
          <w:sz w:val="22"/>
          <w:szCs w:val="22"/>
        </w:rPr>
        <w:t xml:space="preserve"> de 20</w:t>
      </w:r>
      <w:r w:rsidR="00103716" w:rsidRPr="00616725">
        <w:rPr>
          <w:rFonts w:ascii="Arial" w:hAnsi="Arial" w:cs="Arial"/>
          <w:sz w:val="22"/>
          <w:szCs w:val="22"/>
        </w:rPr>
        <w:t>2</w:t>
      </w:r>
      <w:r w:rsidRPr="00616725">
        <w:rPr>
          <w:rFonts w:ascii="Arial" w:hAnsi="Arial" w:cs="Arial"/>
          <w:sz w:val="22"/>
          <w:szCs w:val="22"/>
        </w:rPr>
        <w:t>3</w:t>
      </w:r>
      <w:r w:rsidR="00FE29D3" w:rsidRPr="00616725">
        <w:rPr>
          <w:rFonts w:ascii="Arial" w:hAnsi="Arial" w:cs="Arial"/>
          <w:sz w:val="22"/>
          <w:szCs w:val="22"/>
        </w:rPr>
        <w:t xml:space="preserve"> que corresponde al plazo de caducidad para el cobro de estos.</w:t>
      </w:r>
      <w:r w:rsidR="007A70CA" w:rsidRPr="00616725">
        <w:rPr>
          <w:rFonts w:ascii="Arial" w:hAnsi="Arial" w:cs="Arial"/>
          <w:sz w:val="22"/>
          <w:szCs w:val="22"/>
        </w:rPr>
        <w:t xml:space="preserve"> </w:t>
      </w:r>
    </w:p>
    <w:p w14:paraId="0943962F" w14:textId="00E54B77" w:rsidR="00616725" w:rsidRPr="00616725" w:rsidRDefault="00616725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</w:rPr>
      </w:pPr>
    </w:p>
    <w:p w14:paraId="6BF989DE" w14:textId="4B54B34F" w:rsidR="00616725" w:rsidRPr="00616725" w:rsidRDefault="00616725" w:rsidP="00616725">
      <w:pPr>
        <w:pStyle w:val="Prrafodelista"/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616725">
        <w:rPr>
          <w:rFonts w:ascii="Arial" w:hAnsi="Arial" w:cs="Arial"/>
          <w:sz w:val="22"/>
          <w:szCs w:val="22"/>
          <w:lang w:val="es-ES"/>
        </w:rPr>
        <w:t xml:space="preserve">Raspe “Rueda de la fortuna $500” </w:t>
      </w:r>
      <w:r w:rsidRPr="00616725">
        <w:rPr>
          <w:rFonts w:ascii="Arial" w:hAnsi="Arial" w:cs="Arial"/>
          <w:sz w:val="22"/>
          <w:szCs w:val="22"/>
        </w:rPr>
        <w:t>hasta el 0</w:t>
      </w:r>
      <w:r w:rsidR="008272FF">
        <w:rPr>
          <w:rFonts w:ascii="Arial" w:hAnsi="Arial" w:cs="Arial"/>
          <w:sz w:val="22"/>
          <w:szCs w:val="22"/>
        </w:rPr>
        <w:t>3</w:t>
      </w:r>
      <w:r w:rsidRPr="00616725">
        <w:rPr>
          <w:rFonts w:ascii="Arial" w:hAnsi="Arial" w:cs="Arial"/>
          <w:sz w:val="22"/>
          <w:szCs w:val="22"/>
        </w:rPr>
        <w:t xml:space="preserve"> de noviembre de 2023 que corresponde al plazo de caducidad para el cobro de estos. </w:t>
      </w:r>
    </w:p>
    <w:p w14:paraId="778CC528" w14:textId="6E7480D2" w:rsidR="00616725" w:rsidRPr="00616725" w:rsidRDefault="00616725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</w:rPr>
      </w:pPr>
    </w:p>
    <w:p w14:paraId="749DC18F" w14:textId="3993A60F" w:rsidR="00616725" w:rsidRPr="00616725" w:rsidRDefault="00616725" w:rsidP="00616725">
      <w:pPr>
        <w:pStyle w:val="Prrafodelista"/>
        <w:numPr>
          <w:ilvl w:val="0"/>
          <w:numId w:val="2"/>
        </w:num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616725">
        <w:rPr>
          <w:rFonts w:ascii="Arial" w:hAnsi="Arial" w:cs="Arial"/>
          <w:sz w:val="22"/>
          <w:szCs w:val="22"/>
        </w:rPr>
        <w:t xml:space="preserve">Raspe </w:t>
      </w:r>
      <w:r w:rsidRPr="00616725">
        <w:rPr>
          <w:rFonts w:ascii="Arial" w:hAnsi="Arial" w:cs="Arial"/>
          <w:sz w:val="22"/>
          <w:szCs w:val="22"/>
          <w:lang w:val="es-ES"/>
        </w:rPr>
        <w:t>“Hiper Trébol millonario $500” y “Mega Trébol millonario $1.000”</w:t>
      </w:r>
      <w:r w:rsidRPr="00616725">
        <w:rPr>
          <w:rFonts w:ascii="Arial" w:hAnsi="Arial" w:cs="Arial"/>
          <w:sz w:val="22"/>
          <w:szCs w:val="22"/>
        </w:rPr>
        <w:t xml:space="preserve"> hasta el 2</w:t>
      </w:r>
      <w:r w:rsidR="008272FF">
        <w:rPr>
          <w:rFonts w:ascii="Arial" w:hAnsi="Arial" w:cs="Arial"/>
          <w:sz w:val="22"/>
          <w:szCs w:val="22"/>
        </w:rPr>
        <w:t>5</w:t>
      </w:r>
      <w:r w:rsidRPr="00616725">
        <w:rPr>
          <w:rFonts w:ascii="Arial" w:hAnsi="Arial" w:cs="Arial"/>
          <w:sz w:val="22"/>
          <w:szCs w:val="22"/>
        </w:rPr>
        <w:t xml:space="preserve"> de agosto de 2023 que corresponde al plazo de caducidad para el cobro de estos. </w:t>
      </w:r>
    </w:p>
    <w:p w14:paraId="067EF63F" w14:textId="63178515" w:rsidR="00616725" w:rsidRPr="00616725" w:rsidRDefault="00616725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</w:rPr>
      </w:pPr>
    </w:p>
    <w:p w14:paraId="722D659E" w14:textId="77777777" w:rsidR="007A70CA" w:rsidRPr="00616725" w:rsidRDefault="007A70CA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</w:rPr>
      </w:pPr>
    </w:p>
    <w:p w14:paraId="52A062A5" w14:textId="1CC41DD3" w:rsidR="00690E78" w:rsidRPr="00616725" w:rsidRDefault="007A70CA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</w:rPr>
      </w:pPr>
      <w:r w:rsidRPr="00616725">
        <w:rPr>
          <w:rFonts w:ascii="Arial" w:hAnsi="Arial" w:cs="Arial"/>
          <w:sz w:val="22"/>
          <w:szCs w:val="22"/>
        </w:rPr>
        <w:t xml:space="preserve">3,.    En todas las demás materias y aspectos que </w:t>
      </w:r>
      <w:r w:rsidR="00FE3475" w:rsidRPr="00616725">
        <w:rPr>
          <w:rFonts w:ascii="Arial" w:hAnsi="Arial" w:cs="Arial"/>
          <w:sz w:val="22"/>
          <w:szCs w:val="22"/>
        </w:rPr>
        <w:t>correspondan, regirá</w:t>
      </w:r>
      <w:r w:rsidRPr="00616725">
        <w:rPr>
          <w:rFonts w:ascii="Arial" w:hAnsi="Arial" w:cs="Arial"/>
          <w:sz w:val="22"/>
          <w:szCs w:val="22"/>
        </w:rPr>
        <w:t xml:space="preserve"> íntegramente la</w:t>
      </w:r>
      <w:r w:rsidR="00FE3475" w:rsidRPr="00616725">
        <w:rPr>
          <w:rFonts w:ascii="Arial" w:hAnsi="Arial" w:cs="Arial"/>
          <w:sz w:val="22"/>
          <w:szCs w:val="22"/>
        </w:rPr>
        <w:t>s</w:t>
      </w:r>
      <w:r w:rsidRPr="00616725">
        <w:rPr>
          <w:rFonts w:ascii="Arial" w:hAnsi="Arial" w:cs="Arial"/>
          <w:sz w:val="22"/>
          <w:szCs w:val="22"/>
        </w:rPr>
        <w:t xml:space="preserve">   </w:t>
      </w:r>
      <w:r w:rsidR="00FE3475" w:rsidRPr="00616725">
        <w:rPr>
          <w:rFonts w:ascii="Arial" w:hAnsi="Arial" w:cs="Arial"/>
          <w:sz w:val="22"/>
          <w:szCs w:val="22"/>
        </w:rPr>
        <w:t>resoluciones</w:t>
      </w:r>
      <w:r w:rsidRPr="00616725">
        <w:rPr>
          <w:rFonts w:ascii="Arial" w:hAnsi="Arial" w:cs="Arial"/>
          <w:sz w:val="22"/>
          <w:szCs w:val="22"/>
        </w:rPr>
        <w:t xml:space="preserve"> de Gerencia General N° </w:t>
      </w:r>
      <w:r w:rsidR="00616725" w:rsidRPr="00616725">
        <w:rPr>
          <w:rFonts w:ascii="Arial" w:hAnsi="Arial" w:cs="Arial"/>
          <w:sz w:val="22"/>
          <w:szCs w:val="22"/>
        </w:rPr>
        <w:t>33, 32, 216 y 2017</w:t>
      </w:r>
      <w:r w:rsidR="00FE29D3" w:rsidRPr="00616725">
        <w:rPr>
          <w:rFonts w:ascii="Arial" w:hAnsi="Arial" w:cs="Arial"/>
          <w:sz w:val="22"/>
          <w:szCs w:val="22"/>
        </w:rPr>
        <w:t>, que forma</w:t>
      </w:r>
      <w:r w:rsidR="00FE3475" w:rsidRPr="00616725">
        <w:rPr>
          <w:rFonts w:ascii="Arial" w:hAnsi="Arial" w:cs="Arial"/>
          <w:sz w:val="22"/>
          <w:szCs w:val="22"/>
        </w:rPr>
        <w:t>n</w:t>
      </w:r>
      <w:r w:rsidR="00FE29D3" w:rsidRPr="00616725">
        <w:rPr>
          <w:rFonts w:ascii="Arial" w:hAnsi="Arial" w:cs="Arial"/>
          <w:sz w:val="22"/>
          <w:szCs w:val="22"/>
        </w:rPr>
        <w:t xml:space="preserve"> parte de esta Resolución. </w:t>
      </w:r>
      <w:r w:rsidRPr="00616725">
        <w:rPr>
          <w:rFonts w:ascii="Arial" w:hAnsi="Arial" w:cs="Arial"/>
          <w:sz w:val="22"/>
          <w:szCs w:val="22"/>
        </w:rPr>
        <w:t xml:space="preserve">  </w:t>
      </w:r>
      <w:r w:rsidR="00690E78" w:rsidRPr="00616725">
        <w:rPr>
          <w:rFonts w:ascii="Arial" w:hAnsi="Arial" w:cs="Arial"/>
          <w:sz w:val="22"/>
          <w:szCs w:val="22"/>
        </w:rPr>
        <w:t xml:space="preserve"> </w:t>
      </w:r>
    </w:p>
    <w:p w14:paraId="6DF544B5" w14:textId="77777777" w:rsidR="00690E78" w:rsidRPr="00470BE9" w:rsidRDefault="00690E78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ind w:left="600" w:hanging="600"/>
        <w:jc w:val="both"/>
        <w:rPr>
          <w:rFonts w:ascii="Arial" w:hAnsi="Arial" w:cs="Arial"/>
          <w:sz w:val="22"/>
          <w:szCs w:val="22"/>
        </w:rPr>
      </w:pPr>
    </w:p>
    <w:p w14:paraId="7559BBC0" w14:textId="77777777" w:rsidR="007A70CA" w:rsidRDefault="007A70CA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/>
          <w:b/>
          <w:sz w:val="22"/>
        </w:rPr>
      </w:pPr>
    </w:p>
    <w:p w14:paraId="0E84B974" w14:textId="77777777" w:rsidR="007A70CA" w:rsidRDefault="007A70CA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/>
          <w:b/>
          <w:sz w:val="22"/>
        </w:rPr>
      </w:pPr>
    </w:p>
    <w:p w14:paraId="14CB3EA1" w14:textId="77777777" w:rsidR="007A70CA" w:rsidRDefault="007A70CA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/>
          <w:b/>
          <w:sz w:val="22"/>
        </w:rPr>
      </w:pPr>
    </w:p>
    <w:p w14:paraId="542E75C3" w14:textId="77777777" w:rsidR="007A70CA" w:rsidRDefault="007A70CA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/>
          <w:b/>
          <w:sz w:val="22"/>
        </w:rPr>
      </w:pPr>
    </w:p>
    <w:p w14:paraId="15689A6D" w14:textId="77777777" w:rsidR="007A70CA" w:rsidRDefault="007A70CA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/>
          <w:b/>
          <w:sz w:val="22"/>
        </w:rPr>
      </w:pPr>
    </w:p>
    <w:p w14:paraId="68F9003E" w14:textId="77777777" w:rsidR="007A70CA" w:rsidRDefault="007A70CA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/>
          <w:b/>
          <w:sz w:val="22"/>
        </w:rPr>
      </w:pPr>
    </w:p>
    <w:p w14:paraId="338B30A7" w14:textId="77777777" w:rsidR="007A70CA" w:rsidRDefault="007A70CA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/>
          <w:b/>
          <w:sz w:val="22"/>
        </w:rPr>
      </w:pPr>
    </w:p>
    <w:p w14:paraId="7DD6403E" w14:textId="77777777" w:rsidR="007A70CA" w:rsidRDefault="007A70CA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/>
          <w:b/>
          <w:sz w:val="22"/>
        </w:rPr>
      </w:pPr>
    </w:p>
    <w:p w14:paraId="1F6B98F7" w14:textId="77777777" w:rsidR="007A70CA" w:rsidRDefault="007A70CA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/>
          <w:b/>
          <w:sz w:val="22"/>
        </w:rPr>
      </w:pPr>
    </w:p>
    <w:p w14:paraId="7DD7FABE" w14:textId="77777777" w:rsidR="007A70CA" w:rsidRDefault="007A70CA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/>
          <w:b/>
          <w:sz w:val="22"/>
        </w:rPr>
      </w:pPr>
    </w:p>
    <w:p w14:paraId="61BB4202" w14:textId="77777777" w:rsidR="00690E78" w:rsidRPr="00203E47" w:rsidRDefault="00690E78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>TRANSCRÍBASE Y COMUNÍQUESE,</w:t>
      </w:r>
      <w:r w:rsidRPr="00184385">
        <w:rPr>
          <w:rFonts w:ascii="Arial" w:hAnsi="Arial"/>
          <w:b/>
          <w:sz w:val="24"/>
          <w:szCs w:val="24"/>
        </w:rPr>
        <w:t xml:space="preserve"> </w:t>
      </w:r>
      <w:r w:rsidRPr="00184385">
        <w:rPr>
          <w:rFonts w:ascii="Arial" w:hAnsi="Arial"/>
          <w:sz w:val="24"/>
          <w:szCs w:val="24"/>
        </w:rPr>
        <w:t>la presente resolución de Gerencia General.</w:t>
      </w:r>
    </w:p>
    <w:p w14:paraId="67E031A6" w14:textId="77777777" w:rsidR="00690E78" w:rsidRDefault="00690E78" w:rsidP="00690E78">
      <w:pPr>
        <w:tabs>
          <w:tab w:val="center" w:pos="5387"/>
        </w:tabs>
        <w:jc w:val="both"/>
        <w:rPr>
          <w:rFonts w:ascii="Arial" w:hAnsi="Arial"/>
          <w:b/>
          <w:sz w:val="22"/>
        </w:rPr>
      </w:pPr>
    </w:p>
    <w:p w14:paraId="1EDD8EDD" w14:textId="77777777" w:rsidR="00690E78" w:rsidRDefault="00690E78" w:rsidP="00690E78">
      <w:pPr>
        <w:tabs>
          <w:tab w:val="center" w:pos="5387"/>
        </w:tabs>
        <w:rPr>
          <w:rFonts w:ascii="Arial" w:hAnsi="Arial"/>
          <w:b/>
          <w:sz w:val="24"/>
        </w:rPr>
      </w:pPr>
    </w:p>
    <w:p w14:paraId="34BE7ACB" w14:textId="77777777" w:rsidR="00690E78" w:rsidRDefault="00690E78" w:rsidP="00690E78">
      <w:pPr>
        <w:tabs>
          <w:tab w:val="center" w:pos="5387"/>
        </w:tabs>
        <w:jc w:val="center"/>
        <w:rPr>
          <w:rFonts w:ascii="Arial" w:hAnsi="Arial"/>
          <w:b/>
          <w:sz w:val="24"/>
        </w:rPr>
      </w:pPr>
    </w:p>
    <w:p w14:paraId="0A7994AB" w14:textId="77777777" w:rsidR="00690E78" w:rsidRDefault="00690E78" w:rsidP="00690E78">
      <w:pPr>
        <w:jc w:val="center"/>
        <w:rPr>
          <w:b/>
          <w:sz w:val="22"/>
        </w:rPr>
      </w:pPr>
      <w:r>
        <w:rPr>
          <w:rFonts w:ascii="Arial" w:hAnsi="Arial"/>
          <w:b/>
          <w:sz w:val="22"/>
        </w:rPr>
        <w:t>Edmundo Dupré Echeverría</w:t>
      </w:r>
    </w:p>
    <w:p w14:paraId="75490C34" w14:textId="77777777" w:rsidR="00690E78" w:rsidRDefault="00690E78" w:rsidP="00690E7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Gerente General </w:t>
      </w:r>
    </w:p>
    <w:p w14:paraId="0E662DEA" w14:textId="77777777" w:rsidR="00690E78" w:rsidRDefault="00690E78" w:rsidP="00690E78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Polla Chilena de Beneficencia S.A.</w:t>
      </w:r>
    </w:p>
    <w:p w14:paraId="00FC29C7" w14:textId="77777777" w:rsidR="00690E78" w:rsidRDefault="00690E78" w:rsidP="00690E78">
      <w:pPr>
        <w:jc w:val="center"/>
        <w:rPr>
          <w:rFonts w:ascii="Arial" w:hAnsi="Arial"/>
          <w:b/>
          <w:sz w:val="22"/>
        </w:rPr>
      </w:pPr>
    </w:p>
    <w:p w14:paraId="64DB5A82" w14:textId="77777777" w:rsidR="00690E78" w:rsidRDefault="00690E78" w:rsidP="00690E78">
      <w:pPr>
        <w:tabs>
          <w:tab w:val="center" w:pos="5387"/>
        </w:tabs>
        <w:rPr>
          <w:rFonts w:ascii="Arial" w:hAnsi="Arial"/>
          <w:b/>
          <w:sz w:val="24"/>
        </w:rPr>
      </w:pPr>
    </w:p>
    <w:p w14:paraId="4E2C154D" w14:textId="77777777" w:rsidR="00690E78" w:rsidRDefault="00690E78" w:rsidP="00690E78">
      <w:pPr>
        <w:tabs>
          <w:tab w:val="center" w:pos="5387"/>
        </w:tabs>
        <w:jc w:val="both"/>
        <w:rPr>
          <w:rFonts w:ascii="Arial" w:hAnsi="Arial"/>
          <w:sz w:val="16"/>
        </w:rPr>
      </w:pPr>
    </w:p>
    <w:p w14:paraId="0C3A1BBE" w14:textId="77777777" w:rsidR="00690E78" w:rsidRDefault="00690E78" w:rsidP="00690E78">
      <w:pPr>
        <w:tabs>
          <w:tab w:val="center" w:pos="5387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ECG/</w:t>
      </w:r>
    </w:p>
    <w:p w14:paraId="2C4709AA" w14:textId="77777777" w:rsidR="00690E78" w:rsidRDefault="00690E78" w:rsidP="00690E78">
      <w:pPr>
        <w:tabs>
          <w:tab w:val="center" w:pos="5387"/>
        </w:tabs>
        <w:jc w:val="both"/>
        <w:rPr>
          <w:rFonts w:ascii="Arial" w:hAnsi="Arial"/>
          <w:sz w:val="16"/>
        </w:rPr>
      </w:pPr>
    </w:p>
    <w:p w14:paraId="3C4A76BB" w14:textId="77777777" w:rsidR="00690E78" w:rsidRDefault="00690E78" w:rsidP="00690E78">
      <w:pPr>
        <w:pStyle w:val="Ttulo1"/>
        <w:rPr>
          <w:rFonts w:ascii="Arial" w:hAnsi="Arial"/>
          <w:sz w:val="16"/>
        </w:rPr>
      </w:pPr>
      <w:r>
        <w:rPr>
          <w:rFonts w:ascii="Arial" w:hAnsi="Arial"/>
          <w:sz w:val="16"/>
        </w:rPr>
        <w:t>Distribución</w:t>
      </w:r>
    </w:p>
    <w:p w14:paraId="0FB9B1B6" w14:textId="77777777" w:rsidR="00690E78" w:rsidRDefault="00690E78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2. Of. Partes</w:t>
      </w:r>
    </w:p>
    <w:p w14:paraId="61E35B6C" w14:textId="77777777" w:rsidR="00690E78" w:rsidRDefault="00690E78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1. Gerencia General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Subg. Finanzas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Fiscalía</w:t>
      </w:r>
    </w:p>
    <w:p w14:paraId="6A3722F0" w14:textId="77777777" w:rsidR="007A70CA" w:rsidRDefault="00690E78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1. Gerencia Comercial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Subg. Contabilidad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Subg.</w:t>
      </w:r>
      <w:r w:rsidR="007A70CA">
        <w:rPr>
          <w:rFonts w:ascii="Arial" w:hAnsi="Arial"/>
          <w:sz w:val="16"/>
        </w:rPr>
        <w:t xml:space="preserve">Productoos Impresos </w:t>
      </w:r>
      <w:r>
        <w:rPr>
          <w:rFonts w:ascii="Arial" w:hAnsi="Arial"/>
          <w:sz w:val="16"/>
        </w:rPr>
        <w:t xml:space="preserve"> </w:t>
      </w:r>
    </w:p>
    <w:p w14:paraId="60442FD2" w14:textId="77777777" w:rsidR="00690E78" w:rsidRPr="00A122A1" w:rsidRDefault="00690E78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1. Gerencia TI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1. Depto. Sorteos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</w:p>
    <w:p w14:paraId="32EB74F0" w14:textId="77777777" w:rsidR="00690E78" w:rsidRDefault="00690E78" w:rsidP="00690E78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jc w:val="both"/>
        <w:rPr>
          <w:rFonts w:ascii="Arial" w:hAnsi="Arial"/>
          <w:sz w:val="16"/>
        </w:rPr>
      </w:pPr>
      <w:r w:rsidRPr="00A122A1">
        <w:rPr>
          <w:rFonts w:ascii="Arial" w:hAnsi="Arial"/>
          <w:sz w:val="16"/>
        </w:rPr>
        <w:t>1. Gerencia Finanzas</w:t>
      </w:r>
      <w:r w:rsidRPr="00A122A1">
        <w:rPr>
          <w:rFonts w:ascii="Arial" w:hAnsi="Arial"/>
          <w:sz w:val="16"/>
        </w:rPr>
        <w:tab/>
      </w:r>
      <w:r w:rsidRPr="00A122A1">
        <w:rPr>
          <w:rFonts w:ascii="Arial" w:hAnsi="Arial"/>
          <w:sz w:val="16"/>
        </w:rPr>
        <w:tab/>
      </w:r>
      <w:r w:rsidRPr="00A122A1">
        <w:rPr>
          <w:rFonts w:ascii="Arial" w:hAnsi="Arial"/>
          <w:sz w:val="16"/>
        </w:rPr>
        <w:tab/>
        <w:t xml:space="preserve">1. Subg. </w:t>
      </w:r>
      <w:r>
        <w:rPr>
          <w:rFonts w:ascii="Arial" w:hAnsi="Arial"/>
          <w:sz w:val="16"/>
        </w:rPr>
        <w:t>Control  y Gestión y Estudios</w:t>
      </w:r>
      <w:r>
        <w:rPr>
          <w:rFonts w:ascii="Arial" w:hAnsi="Arial"/>
          <w:sz w:val="16"/>
        </w:rPr>
        <w:tab/>
        <w:t>1. Contralor</w:t>
      </w:r>
    </w:p>
    <w:p w14:paraId="0DF1F960" w14:textId="77777777" w:rsidR="00690E78" w:rsidRPr="0009291E" w:rsidRDefault="00690E78" w:rsidP="00690E78">
      <w:pPr>
        <w:pStyle w:val="Ttulo1"/>
        <w:rPr>
          <w:rFonts w:ascii="Arial" w:hAnsi="Arial" w:cs="Arial"/>
          <w:sz w:val="16"/>
          <w:szCs w:val="16"/>
          <w:u w:val="none"/>
        </w:rPr>
      </w:pPr>
      <w:r>
        <w:rPr>
          <w:rFonts w:ascii="Arial" w:hAnsi="Arial"/>
          <w:sz w:val="16"/>
          <w:u w:val="none"/>
        </w:rPr>
        <w:tab/>
      </w:r>
      <w:r>
        <w:rPr>
          <w:rFonts w:ascii="Arial" w:hAnsi="Arial"/>
          <w:sz w:val="16"/>
          <w:u w:val="none"/>
        </w:rPr>
        <w:tab/>
      </w:r>
      <w:r>
        <w:rPr>
          <w:rFonts w:ascii="Arial" w:hAnsi="Arial"/>
          <w:sz w:val="16"/>
          <w:u w:val="none"/>
        </w:rPr>
        <w:tab/>
      </w:r>
      <w:r>
        <w:rPr>
          <w:rFonts w:ascii="Arial" w:hAnsi="Arial"/>
          <w:sz w:val="16"/>
          <w:u w:val="none"/>
        </w:rPr>
        <w:tab/>
      </w:r>
      <w:r>
        <w:rPr>
          <w:rFonts w:ascii="Arial" w:hAnsi="Arial"/>
          <w:sz w:val="16"/>
          <w:u w:val="none"/>
        </w:rPr>
        <w:tab/>
      </w:r>
      <w:r w:rsidRPr="0009291E">
        <w:rPr>
          <w:rFonts w:ascii="Arial" w:hAnsi="Arial" w:cs="Arial"/>
          <w:sz w:val="16"/>
          <w:szCs w:val="16"/>
          <w:u w:val="none"/>
        </w:rPr>
        <w:t>1. Sección Cuentas Corrientes</w:t>
      </w:r>
      <w:r w:rsidRPr="0009291E">
        <w:rPr>
          <w:rFonts w:ascii="Arial" w:hAnsi="Arial" w:cs="Arial"/>
          <w:sz w:val="16"/>
          <w:szCs w:val="16"/>
          <w:u w:val="none"/>
        </w:rPr>
        <w:tab/>
      </w:r>
      <w:r w:rsidRPr="0009291E">
        <w:rPr>
          <w:rFonts w:ascii="Arial" w:hAnsi="Arial" w:cs="Arial"/>
          <w:sz w:val="16"/>
          <w:szCs w:val="16"/>
          <w:u w:val="none"/>
        </w:rPr>
        <w:tab/>
        <w:t>1. Archivo</w:t>
      </w:r>
    </w:p>
    <w:p w14:paraId="16F897B7" w14:textId="77777777" w:rsidR="00690E78" w:rsidRDefault="00690E78" w:rsidP="00690E78">
      <w:pPr>
        <w:ind w:left="3119" w:hanging="142"/>
        <w:rPr>
          <w:rFonts w:ascii="Arial" w:hAnsi="Arial"/>
          <w:b/>
          <w:sz w:val="24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09291E">
        <w:rPr>
          <w:rFonts w:ascii="Arial" w:hAnsi="Arial" w:cs="Arial"/>
          <w:sz w:val="16"/>
          <w:szCs w:val="16"/>
        </w:rPr>
        <w:t>1. Subg. Logística</w:t>
      </w:r>
    </w:p>
    <w:p w14:paraId="59E11807" w14:textId="77777777" w:rsidR="00690E78" w:rsidRDefault="00690E78"/>
    <w:sectPr w:rsidR="00690E78" w:rsidSect="000C3B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32594"/>
    <w:multiLevelType w:val="singleLevel"/>
    <w:tmpl w:val="CFDCE724"/>
    <w:lvl w:ilvl="0">
      <w:start w:val="1"/>
      <w:numFmt w:val="decimal"/>
      <w:lvlText w:val="%1.-"/>
      <w:legacy w:legacy="1" w:legacySpace="0" w:legacyIndent="567"/>
      <w:lvlJc w:val="left"/>
      <w:pPr>
        <w:ind w:left="567" w:hanging="567"/>
      </w:pPr>
    </w:lvl>
  </w:abstractNum>
  <w:abstractNum w:abstractNumId="1" w15:restartNumberingAfterBreak="0">
    <w:nsid w:val="7C4C4BE4"/>
    <w:multiLevelType w:val="hybridMultilevel"/>
    <w:tmpl w:val="6F104A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387773">
    <w:abstractNumId w:val="0"/>
  </w:num>
  <w:num w:numId="2" w16cid:durableId="1159417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78"/>
    <w:rsid w:val="000C3BDB"/>
    <w:rsid w:val="000E23CF"/>
    <w:rsid w:val="000E5391"/>
    <w:rsid w:val="00103716"/>
    <w:rsid w:val="001330F2"/>
    <w:rsid w:val="001557DB"/>
    <w:rsid w:val="002B771F"/>
    <w:rsid w:val="003C7234"/>
    <w:rsid w:val="00412853"/>
    <w:rsid w:val="004E2A96"/>
    <w:rsid w:val="005D151D"/>
    <w:rsid w:val="00616725"/>
    <w:rsid w:val="006835E3"/>
    <w:rsid w:val="00690E78"/>
    <w:rsid w:val="007A70CA"/>
    <w:rsid w:val="007A7B51"/>
    <w:rsid w:val="008272FF"/>
    <w:rsid w:val="008D667B"/>
    <w:rsid w:val="00A96FAF"/>
    <w:rsid w:val="00AE4555"/>
    <w:rsid w:val="00B0591F"/>
    <w:rsid w:val="00BA63D5"/>
    <w:rsid w:val="00C1718F"/>
    <w:rsid w:val="00C75F71"/>
    <w:rsid w:val="00CA2994"/>
    <w:rsid w:val="00CB62A2"/>
    <w:rsid w:val="00DF6C5C"/>
    <w:rsid w:val="00E348D0"/>
    <w:rsid w:val="00E533F8"/>
    <w:rsid w:val="00FE29D3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3F5D1"/>
  <w15:docId w15:val="{01A8B5FF-D7E6-4A91-9353-7883D46C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E7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690E78"/>
    <w:pPr>
      <w:keepNext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jc w:val="both"/>
      <w:outlineLvl w:val="0"/>
    </w:pPr>
    <w:rPr>
      <w:rFonts w:ascii="Courier New" w:hAnsi="Courier New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90E78"/>
    <w:rPr>
      <w:rFonts w:ascii="Courier New" w:eastAsia="Times New Roman" w:hAnsi="Courier New" w:cs="Times New Roman"/>
      <w:sz w:val="20"/>
      <w:szCs w:val="20"/>
      <w:u w:val="single"/>
      <w:lang w:val="es-ES_tradnl" w:eastAsia="es-ES"/>
    </w:rPr>
  </w:style>
  <w:style w:type="paragraph" w:styleId="Ttulo">
    <w:name w:val="Title"/>
    <w:basedOn w:val="Normal"/>
    <w:link w:val="TtuloCar"/>
    <w:qFormat/>
    <w:rsid w:val="00690E78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jc w:val="center"/>
    </w:pPr>
    <w:rPr>
      <w:rFonts w:ascii="Arial" w:hAnsi="Arial"/>
      <w:b/>
      <w:sz w:val="24"/>
      <w:u w:val="single"/>
    </w:rPr>
  </w:style>
  <w:style w:type="character" w:customStyle="1" w:styleId="TtuloCar">
    <w:name w:val="Título Car"/>
    <w:basedOn w:val="Fuentedeprrafopredeter"/>
    <w:link w:val="Ttulo"/>
    <w:rsid w:val="00690E78"/>
    <w:rPr>
      <w:rFonts w:ascii="Arial" w:eastAsia="Times New Roman" w:hAnsi="Arial" w:cs="Times New Roman"/>
      <w:b/>
      <w:sz w:val="24"/>
      <w:szCs w:val="20"/>
      <w:u w:val="single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690E78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</w:pPr>
    <w:rPr>
      <w:rFonts w:ascii="Arial" w:hAnsi="Arial"/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90E78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customStyle="1" w:styleId="Textoindependiente24">
    <w:name w:val="Texto independiente 24"/>
    <w:basedOn w:val="Normal"/>
    <w:rsid w:val="00690E78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567" w:hanging="567"/>
      <w:jc w:val="both"/>
    </w:pPr>
    <w:rPr>
      <w:rFonts w:ascii="Arial" w:hAnsi="Arial"/>
      <w:sz w:val="24"/>
    </w:rPr>
  </w:style>
  <w:style w:type="paragraph" w:customStyle="1" w:styleId="Textoindependiente25">
    <w:name w:val="Texto independiente 25"/>
    <w:basedOn w:val="Normal"/>
    <w:rsid w:val="00690E78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600" w:hanging="600"/>
      <w:jc w:val="both"/>
    </w:pPr>
    <w:rPr>
      <w:rFonts w:ascii="Arial" w:hAnsi="Arial"/>
      <w:sz w:val="24"/>
    </w:rPr>
  </w:style>
  <w:style w:type="paragraph" w:customStyle="1" w:styleId="Textoindependiente26">
    <w:name w:val="Texto independiente 26"/>
    <w:basedOn w:val="Normal"/>
    <w:rsid w:val="00690E78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ind w:left="600"/>
      <w:jc w:val="both"/>
    </w:pPr>
    <w:rPr>
      <w:rFonts w:ascii="Arial" w:hAnsi="Arial"/>
      <w:sz w:val="22"/>
      <w:lang w:val="es-ES"/>
    </w:rPr>
  </w:style>
  <w:style w:type="paragraph" w:styleId="Prrafodelista">
    <w:name w:val="List Paragraph"/>
    <w:basedOn w:val="Normal"/>
    <w:uiPriority w:val="34"/>
    <w:qFormat/>
    <w:rsid w:val="00616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Polla Chilena de Beneficencia S. A.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fzelaya</dc:creator>
  <cp:keywords/>
  <dc:description/>
  <cp:lastModifiedBy>Rodrigo Valenzuela M.</cp:lastModifiedBy>
  <cp:revision>6</cp:revision>
  <dcterms:created xsi:type="dcterms:W3CDTF">2022-06-13T15:10:00Z</dcterms:created>
  <dcterms:modified xsi:type="dcterms:W3CDTF">2022-06-28T18:26:00Z</dcterms:modified>
</cp:coreProperties>
</file>